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5" w:rsidRPr="007178E3" w:rsidRDefault="00746C85" w:rsidP="00A42E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</w:t>
      </w:r>
      <w:r w:rsidR="00A42EE7"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OSPODARKA PRZESTRZENNA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Zakres zagadnień egzaminacyjnych</w:t>
      </w:r>
    </w:p>
    <w:p w:rsid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dla kandydatów na studia stacjonarne drugiego stopnia</w:t>
      </w:r>
      <w:r w:rsidR="00C90731" w:rsidRPr="007178E3">
        <w:rPr>
          <w:rFonts w:ascii="Arial" w:hAnsi="Arial" w:cs="Arial"/>
          <w:bCs/>
          <w:color w:val="000000" w:themeColor="text1"/>
        </w:rPr>
        <w:t xml:space="preserve"> </w:t>
      </w:r>
    </w:p>
    <w:p w:rsidR="00A42EE7" w:rsidRPr="007178E3" w:rsidRDefault="00C90731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 xml:space="preserve">rekrutacja </w:t>
      </w:r>
      <w:r w:rsidR="007178E3">
        <w:rPr>
          <w:rFonts w:ascii="Arial" w:hAnsi="Arial" w:cs="Arial"/>
          <w:bCs/>
          <w:color w:val="000000" w:themeColor="text1"/>
        </w:rPr>
        <w:t xml:space="preserve">na rok akademicki </w:t>
      </w:r>
      <w:r w:rsidRPr="007178E3">
        <w:rPr>
          <w:rFonts w:ascii="Arial" w:hAnsi="Arial" w:cs="Arial"/>
          <w:bCs/>
          <w:color w:val="000000" w:themeColor="text1"/>
        </w:rPr>
        <w:t>2016/2017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u w:val="single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>Przestrzeń w procesie rozwoju społeczno-gospodarczego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Przestrzeń – </w:t>
      </w:r>
      <w:r w:rsidR="009A294C" w:rsidRPr="007178E3">
        <w:rPr>
          <w:rFonts w:ascii="Arial" w:hAnsi="Arial" w:cs="Arial"/>
          <w:color w:val="000000" w:themeColor="text1"/>
        </w:rPr>
        <w:t xml:space="preserve"> rodzaje,</w:t>
      </w:r>
      <w:r w:rsidRPr="007178E3">
        <w:rPr>
          <w:rFonts w:ascii="Arial" w:hAnsi="Arial" w:cs="Arial"/>
          <w:color w:val="000000" w:themeColor="text1"/>
        </w:rPr>
        <w:t xml:space="preserve"> cechy</w:t>
      </w:r>
      <w:r w:rsidR="009A294C" w:rsidRPr="007178E3">
        <w:rPr>
          <w:rFonts w:ascii="Arial" w:hAnsi="Arial" w:cs="Arial"/>
          <w:color w:val="000000" w:themeColor="text1"/>
        </w:rPr>
        <w:t>, zagospodarowanie</w:t>
      </w:r>
      <w:r w:rsidR="007178E3">
        <w:rPr>
          <w:rFonts w:ascii="Arial" w:hAnsi="Arial" w:cs="Arial"/>
          <w:color w:val="000000" w:themeColor="text1"/>
        </w:rPr>
        <w:t>.</w:t>
      </w:r>
    </w:p>
    <w:p w:rsidR="00B73072" w:rsidRPr="007178E3" w:rsidRDefault="00B73072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System planowania przestrzennego w Polsce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Zakres</w:t>
      </w:r>
      <w:r w:rsidR="00B73072" w:rsidRPr="007178E3">
        <w:rPr>
          <w:rFonts w:ascii="Arial" w:hAnsi="Arial" w:cs="Arial"/>
          <w:color w:val="000000" w:themeColor="text1"/>
        </w:rPr>
        <w:t>,</w:t>
      </w:r>
      <w:r w:rsidRPr="007178E3">
        <w:rPr>
          <w:rFonts w:ascii="Arial" w:hAnsi="Arial" w:cs="Arial"/>
          <w:color w:val="000000" w:themeColor="text1"/>
        </w:rPr>
        <w:t xml:space="preserve"> zasady</w:t>
      </w:r>
      <w:r w:rsidR="00B73072" w:rsidRPr="007178E3">
        <w:rPr>
          <w:rFonts w:ascii="Arial" w:hAnsi="Arial" w:cs="Arial"/>
          <w:color w:val="000000" w:themeColor="text1"/>
        </w:rPr>
        <w:t xml:space="preserve"> i uwarunkowania</w:t>
      </w:r>
      <w:r w:rsidRPr="007178E3">
        <w:rPr>
          <w:rFonts w:ascii="Arial" w:hAnsi="Arial" w:cs="Arial"/>
          <w:color w:val="000000" w:themeColor="text1"/>
        </w:rPr>
        <w:t xml:space="preserve"> funkcjonowania gospodarki przestrzennej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BE40B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 xml:space="preserve">Teoretyczne podstawy gospodarki </w:t>
      </w:r>
      <w:r w:rsidR="00234621" w:rsidRPr="007178E3">
        <w:rPr>
          <w:rFonts w:ascii="Arial" w:hAnsi="Arial" w:cs="Arial"/>
          <w:b/>
          <w:color w:val="000000" w:themeColor="text1"/>
          <w:u w:val="single"/>
        </w:rPr>
        <w:t xml:space="preserve">oraz polityki </w:t>
      </w:r>
      <w:r w:rsidRPr="007178E3">
        <w:rPr>
          <w:rFonts w:ascii="Arial" w:hAnsi="Arial" w:cs="Arial"/>
          <w:b/>
          <w:color w:val="000000" w:themeColor="text1"/>
          <w:u w:val="single"/>
        </w:rPr>
        <w:t>lokalnej i regionalnej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Kierunki, cele i uwarunkowania rozwoju regionalnego i lokalnego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Istota regionu i rodzaje oraz  koncepcje rozwoju regionalnego</w:t>
      </w:r>
      <w:r w:rsidR="00234621" w:rsidRPr="007178E3">
        <w:rPr>
          <w:rFonts w:ascii="Arial" w:hAnsi="Arial" w:cs="Arial"/>
          <w:color w:val="000000" w:themeColor="text1"/>
        </w:rPr>
        <w:t xml:space="preserve"> (lokalnego)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Pr="007178E3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Konkurencyjność w rozwoju </w:t>
      </w:r>
      <w:r w:rsidR="00234621" w:rsidRPr="007178E3">
        <w:rPr>
          <w:rFonts w:ascii="Arial" w:hAnsi="Arial" w:cs="Arial"/>
          <w:color w:val="000000" w:themeColor="text1"/>
        </w:rPr>
        <w:t xml:space="preserve">miast i </w:t>
      </w:r>
      <w:r w:rsidRPr="007178E3">
        <w:rPr>
          <w:rFonts w:ascii="Arial" w:hAnsi="Arial" w:cs="Arial"/>
          <w:color w:val="000000" w:themeColor="text1"/>
        </w:rPr>
        <w:t>regionów</w:t>
      </w:r>
      <w:r w:rsidR="007178E3">
        <w:rPr>
          <w:rFonts w:ascii="Arial" w:hAnsi="Arial" w:cs="Arial"/>
          <w:color w:val="000000" w:themeColor="text1"/>
        </w:rPr>
        <w:t>.</w:t>
      </w:r>
    </w:p>
    <w:p w:rsidR="00234621" w:rsidRPr="007178E3" w:rsidRDefault="00234621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Polityka regionalna Polski oraz Unii Europejskiej – istota, cele, instrumenty</w:t>
      </w:r>
      <w:r w:rsidR="007178E3">
        <w:rPr>
          <w:rFonts w:ascii="Arial" w:hAnsi="Arial" w:cs="Arial"/>
          <w:color w:val="000000" w:themeColor="text1"/>
        </w:rPr>
        <w:t>.</w:t>
      </w:r>
    </w:p>
    <w:p w:rsidR="00C11F7D" w:rsidRPr="007178E3" w:rsidRDefault="00323045" w:rsidP="00C11F7D">
      <w:pPr>
        <w:pStyle w:val="Akapitzlist"/>
        <w:spacing w:after="120" w:line="240" w:lineRule="auto"/>
        <w:ind w:left="1068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(</w:t>
      </w:r>
      <w:r w:rsidR="00C11F7D" w:rsidRPr="007178E3">
        <w:rPr>
          <w:rFonts w:ascii="Arial" w:hAnsi="Arial" w:cs="Arial"/>
          <w:color w:val="000000" w:themeColor="text1"/>
        </w:rPr>
        <w:t>źródł</w:t>
      </w:r>
      <w:r w:rsidR="00F461AF" w:rsidRPr="007178E3">
        <w:rPr>
          <w:rFonts w:ascii="Arial" w:hAnsi="Arial" w:cs="Arial"/>
          <w:color w:val="000000" w:themeColor="text1"/>
        </w:rPr>
        <w:t xml:space="preserve">a do </w:t>
      </w:r>
      <w:r w:rsidR="007178E3">
        <w:rPr>
          <w:rFonts w:ascii="Arial" w:hAnsi="Arial" w:cs="Arial"/>
          <w:color w:val="000000" w:themeColor="text1"/>
        </w:rPr>
        <w:t xml:space="preserve">tego </w:t>
      </w:r>
      <w:r w:rsidR="00F461AF" w:rsidRPr="007178E3">
        <w:rPr>
          <w:rFonts w:ascii="Arial" w:hAnsi="Arial" w:cs="Arial"/>
          <w:color w:val="000000" w:themeColor="text1"/>
        </w:rPr>
        <w:t>podpunktu</w:t>
      </w:r>
      <w:r w:rsidR="00C11F7D" w:rsidRPr="007178E3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https://www.funduszeeuropejskie.gov.pl/strony/o-funduszach/zasady-dzialania-funduszy/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6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http://europa.eu/pol/reg/index_pl.htm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; </w:t>
      </w:r>
      <w:hyperlink r:id="rId7" w:history="1">
        <w:r w:rsidR="00F461AF" w:rsidRPr="007178E3">
          <w:rPr>
            <w:rStyle w:val="Hipercze"/>
            <w:rFonts w:ascii="Arial" w:hAnsi="Arial" w:cs="Arial"/>
            <w:color w:val="000000" w:themeColor="text1"/>
          </w:rPr>
          <w:t>http://europa.eu/pol/pdf/flipbook/pl/regional_policy_pl.pdf</w:t>
        </w:r>
      </w:hyperlink>
      <w:r w:rsidR="00F461AF" w:rsidRPr="007178E3">
        <w:rPr>
          <w:rFonts w:ascii="Arial" w:hAnsi="Arial" w:cs="Arial"/>
          <w:color w:val="000000" w:themeColor="text1"/>
        </w:rPr>
        <w:t xml:space="preserve"> </w:t>
      </w:r>
      <w:r w:rsidRPr="007178E3">
        <w:rPr>
          <w:rFonts w:ascii="Arial" w:hAnsi="Arial" w:cs="Arial"/>
          <w:color w:val="000000" w:themeColor="text1"/>
        </w:rPr>
        <w:t>)</w:t>
      </w:r>
    </w:p>
    <w:p w:rsidR="00C90731" w:rsidRPr="007178E3" w:rsidRDefault="00C90731" w:rsidP="00C90731">
      <w:pPr>
        <w:spacing w:after="120" w:line="240" w:lineRule="auto"/>
        <w:ind w:left="708"/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color w:val="000000" w:themeColor="text1"/>
        </w:rPr>
      </w:pPr>
    </w:p>
    <w:p w:rsidR="00746C85" w:rsidRPr="007178E3" w:rsidRDefault="00746C85" w:rsidP="00F20A92">
      <w:p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</w:rPr>
        <w:t xml:space="preserve">Literatura: 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ind w:left="709" w:hanging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Gospodarka  regionalna i lokalna, red. Z. Strzelecki, PWN, Warszawa 2008  Rozdziały:  1, 3, 4.</w:t>
      </w:r>
    </w:p>
    <w:p w:rsidR="00C11F7D" w:rsidRPr="007178E3" w:rsidRDefault="00C11F7D" w:rsidP="00450926">
      <w:pPr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Krajowa Strategia Rozwoju Regionalnego  2010 – 2020: Regiony-miasta-obszary wiejskie  [www.mir.gov.pl]</w:t>
      </w:r>
    </w:p>
    <w:p w:rsidR="00C11F7D" w:rsidRPr="007178E3" w:rsidRDefault="00C11F7D" w:rsidP="009D260A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Planowanie przestrzenne dla rzeczoznawców majątkowych, zarządców oraz pośredników w obrocie nieruchomościami, Wyd. V, pod red. R. Cymermana, Olsztyn 2012. Rozdziały: 1-7</w:t>
      </w:r>
    </w:p>
    <w:p w:rsidR="00C11F7D" w:rsidRPr="007178E3" w:rsidRDefault="00C11F7D" w:rsidP="00234621">
      <w:pPr>
        <w:pStyle w:val="Akapitzlist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Ustawa z dnia 27 marca 2003 r. o planowaniu i zagospodarowaniu przestrzennym Dz.U. 2003 Nr 80 poz. 717</w:t>
      </w:r>
    </w:p>
    <w:p w:rsidR="00746C85" w:rsidRPr="007178E3" w:rsidRDefault="00746C85" w:rsidP="00E87469">
      <w:pPr>
        <w:pStyle w:val="Akapitzlist"/>
        <w:ind w:left="1800"/>
        <w:rPr>
          <w:color w:val="000000" w:themeColor="text1"/>
        </w:rPr>
      </w:pPr>
    </w:p>
    <w:sectPr w:rsidR="00746C85" w:rsidRPr="007178E3" w:rsidSect="004A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923"/>
    <w:multiLevelType w:val="hybridMultilevel"/>
    <w:tmpl w:val="967ED49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51993"/>
    <w:multiLevelType w:val="hybridMultilevel"/>
    <w:tmpl w:val="EE2A7EC4"/>
    <w:lvl w:ilvl="0" w:tplc="60B8F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02B6C"/>
    <w:multiLevelType w:val="hybridMultilevel"/>
    <w:tmpl w:val="21DC5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6B4"/>
    <w:multiLevelType w:val="hybridMultilevel"/>
    <w:tmpl w:val="191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B9D"/>
    <w:multiLevelType w:val="hybridMultilevel"/>
    <w:tmpl w:val="CEC63D7A"/>
    <w:lvl w:ilvl="0" w:tplc="FF840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E55"/>
    <w:multiLevelType w:val="hybridMultilevel"/>
    <w:tmpl w:val="83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FB0"/>
    <w:multiLevelType w:val="hybridMultilevel"/>
    <w:tmpl w:val="A844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0BBF"/>
    <w:multiLevelType w:val="hybridMultilevel"/>
    <w:tmpl w:val="9C3E94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07AD6"/>
    <w:multiLevelType w:val="hybridMultilevel"/>
    <w:tmpl w:val="410A9628"/>
    <w:lvl w:ilvl="0" w:tplc="48042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FBC"/>
    <w:multiLevelType w:val="hybridMultilevel"/>
    <w:tmpl w:val="6A42BEF0"/>
    <w:lvl w:ilvl="0" w:tplc="83EC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1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3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9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5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4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4E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4919"/>
    <w:multiLevelType w:val="hybridMultilevel"/>
    <w:tmpl w:val="EAD217B4"/>
    <w:lvl w:ilvl="0" w:tplc="0DE0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FEE"/>
    <w:multiLevelType w:val="hybridMultilevel"/>
    <w:tmpl w:val="5F828464"/>
    <w:lvl w:ilvl="0" w:tplc="8378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01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C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A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B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E40B2"/>
    <w:rsid w:val="000101D4"/>
    <w:rsid w:val="00033CDC"/>
    <w:rsid w:val="00053CA3"/>
    <w:rsid w:val="00143F5C"/>
    <w:rsid w:val="0015712C"/>
    <w:rsid w:val="00225DFA"/>
    <w:rsid w:val="00234621"/>
    <w:rsid w:val="00323045"/>
    <w:rsid w:val="003E41A9"/>
    <w:rsid w:val="00437168"/>
    <w:rsid w:val="00450926"/>
    <w:rsid w:val="00492D26"/>
    <w:rsid w:val="004A7D0A"/>
    <w:rsid w:val="00505705"/>
    <w:rsid w:val="005A5B7C"/>
    <w:rsid w:val="005C41B5"/>
    <w:rsid w:val="00603810"/>
    <w:rsid w:val="00631254"/>
    <w:rsid w:val="007178E3"/>
    <w:rsid w:val="00746C85"/>
    <w:rsid w:val="0080092E"/>
    <w:rsid w:val="008056DE"/>
    <w:rsid w:val="008277F5"/>
    <w:rsid w:val="0086492A"/>
    <w:rsid w:val="00955231"/>
    <w:rsid w:val="009A294C"/>
    <w:rsid w:val="009D260A"/>
    <w:rsid w:val="00A321F6"/>
    <w:rsid w:val="00A42EE7"/>
    <w:rsid w:val="00A91ADB"/>
    <w:rsid w:val="00AC17E7"/>
    <w:rsid w:val="00B43221"/>
    <w:rsid w:val="00B73072"/>
    <w:rsid w:val="00BE40B2"/>
    <w:rsid w:val="00C11F7D"/>
    <w:rsid w:val="00C90731"/>
    <w:rsid w:val="00CF598C"/>
    <w:rsid w:val="00D54C5A"/>
    <w:rsid w:val="00DD6D8A"/>
    <w:rsid w:val="00DE461F"/>
    <w:rsid w:val="00E6682F"/>
    <w:rsid w:val="00E87469"/>
    <w:rsid w:val="00EA47C6"/>
    <w:rsid w:val="00F16AD0"/>
    <w:rsid w:val="00F20A92"/>
    <w:rsid w:val="00F461AF"/>
    <w:rsid w:val="00F57E05"/>
    <w:rsid w:val="00FD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pol/pdf/flipbook/pl/regional_policy_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pol/reg/index_pl.htm" TargetMode="External"/><Relationship Id="rId5" Type="http://schemas.openxmlformats.org/officeDocument/2006/relationships/hyperlink" Target="https://www.funduszeeuropejskie.gov.pl/strony/o-funduszach/zasady-dzialania-fundusz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zagadnień  na egzamin – przyjęcie na II stopień Kierunku Gospodarka Przestrzenna</vt:lpstr>
    </vt:vector>
  </TitlesOfParts>
  <Company>użytek własny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zagadnień  na egzamin – przyjęcie na II stopień Kierunku Gospodarka Przestrzenna</dc:title>
  <dc:creator>Ostrowski</dc:creator>
  <cp:lastModifiedBy>macugam</cp:lastModifiedBy>
  <cp:revision>2</cp:revision>
  <cp:lastPrinted>2015-03-19T12:25:00Z</cp:lastPrinted>
  <dcterms:created xsi:type="dcterms:W3CDTF">2016-05-19T04:57:00Z</dcterms:created>
  <dcterms:modified xsi:type="dcterms:W3CDTF">2016-05-19T04:57:00Z</dcterms:modified>
</cp:coreProperties>
</file>